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BE" w:rsidRDefault="004A54BE" w:rsidP="004A54BE">
      <w:pPr>
        <w:spacing w:line="600" w:lineRule="exac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附件</w:t>
      </w:r>
      <w:r>
        <w:rPr>
          <w:rFonts w:eastAsia="仿宋_GB2312" w:hint="eastAsia"/>
          <w:bCs/>
          <w:sz w:val="32"/>
          <w:szCs w:val="32"/>
          <w:lang/>
        </w:rPr>
        <w:t>三</w:t>
      </w:r>
      <w:r>
        <w:rPr>
          <w:rFonts w:eastAsia="仿宋_GB2312"/>
          <w:bCs/>
          <w:sz w:val="32"/>
          <w:szCs w:val="32"/>
          <w:lang/>
        </w:rPr>
        <w:t xml:space="preserve">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表</w:t>
      </w:r>
      <w:r>
        <w:rPr>
          <w:rFonts w:eastAsia="仿宋_GB2312"/>
          <w:bCs/>
          <w:sz w:val="32"/>
          <w:szCs w:val="32"/>
          <w:lang/>
        </w:rPr>
        <w:t>1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4A54BE" w:rsidRDefault="004A54BE" w:rsidP="004A54BE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5785"/>
        <w:gridCol w:w="989"/>
        <w:gridCol w:w="1140"/>
        <w:gridCol w:w="822"/>
        <w:gridCol w:w="960"/>
        <w:gridCol w:w="857"/>
        <w:gridCol w:w="770"/>
        <w:gridCol w:w="1250"/>
      </w:tblGrid>
      <w:tr w:rsidR="004A54BE" w:rsidTr="00852494">
        <w:trPr>
          <w:cantSplit/>
          <w:trHeight w:val="733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基础医学院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公共卫生学院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药学院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医学检验学院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护理学院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法医学系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生命科学技术学院</w:t>
            </w:r>
          </w:p>
        </w:tc>
      </w:tr>
      <w:tr w:rsidR="004A54BE" w:rsidTr="00852494">
        <w:trPr>
          <w:cantSplit/>
          <w:trHeight w:val="576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1133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62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578"/>
          <w:jc w:val="center"/>
        </w:trPr>
        <w:tc>
          <w:tcPr>
            <w:tcW w:w="7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4A54BE" w:rsidRDefault="004A54BE" w:rsidP="004A54BE">
      <w:pPr>
        <w:spacing w:line="600" w:lineRule="exact"/>
        <w:ind w:right="1280"/>
        <w:rPr>
          <w:rFonts w:eastAsia="仿宋_GB2312"/>
          <w:bCs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1"/>
          <w:lang/>
        </w:rPr>
        <w:t xml:space="preserve">                              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   </w:t>
      </w:r>
    </w:p>
    <w:p w:rsidR="004A54BE" w:rsidRDefault="004A54BE" w:rsidP="004A54B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2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4A54BE" w:rsidRDefault="004A54BE" w:rsidP="004A54BE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4"/>
        <w:gridCol w:w="5675"/>
        <w:gridCol w:w="856"/>
        <w:gridCol w:w="981"/>
        <w:gridCol w:w="1391"/>
        <w:gridCol w:w="1203"/>
        <w:gridCol w:w="1117"/>
        <w:gridCol w:w="1233"/>
      </w:tblGrid>
      <w:tr w:rsidR="004A54BE" w:rsidTr="00852494">
        <w:trPr>
          <w:cantSplit/>
          <w:trHeight w:val="763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管理学院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心理学系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生物医学工程学院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外国语言学系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社会科学部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体育教学部</w:t>
            </w:r>
          </w:p>
        </w:tc>
      </w:tr>
      <w:tr w:rsidR="004A54BE" w:rsidTr="00852494">
        <w:trPr>
          <w:cantSplit/>
          <w:trHeight w:val="602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1174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59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613"/>
          <w:jc w:val="center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4A54BE" w:rsidRDefault="004A54BE" w:rsidP="004A54BE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1"/>
          <w:lang/>
        </w:rPr>
        <w:t xml:space="preserve">                                   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4A54BE" w:rsidRDefault="004A54BE" w:rsidP="004A54B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3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4A54BE" w:rsidRDefault="004A54BE" w:rsidP="004A54BE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5"/>
        <w:gridCol w:w="5658"/>
        <w:gridCol w:w="1154"/>
        <w:gridCol w:w="1214"/>
        <w:gridCol w:w="1308"/>
        <w:gridCol w:w="1112"/>
        <w:gridCol w:w="1112"/>
        <w:gridCol w:w="1227"/>
      </w:tblGrid>
      <w:tr w:rsidR="004A54BE" w:rsidTr="00852494">
        <w:trPr>
          <w:cantSplit/>
          <w:trHeight w:val="75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第一临床学院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第二临床学院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第三临床学院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口腔医学院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第四临床学院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第五临床学院</w:t>
            </w:r>
          </w:p>
        </w:tc>
      </w:tr>
      <w:tr w:rsidR="004A54BE" w:rsidTr="00852494">
        <w:trPr>
          <w:cantSplit/>
          <w:trHeight w:val="5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115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58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603"/>
          <w:jc w:val="center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4A54BE" w:rsidRDefault="004A54BE" w:rsidP="004A54BE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4A54BE" w:rsidRDefault="004A54BE" w:rsidP="004A54B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4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4A54BE" w:rsidRDefault="004A54BE" w:rsidP="004A54BE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5"/>
        <w:gridCol w:w="6059"/>
        <w:gridCol w:w="1221"/>
        <w:gridCol w:w="1284"/>
        <w:gridCol w:w="1384"/>
        <w:gridCol w:w="1335"/>
        <w:gridCol w:w="1491"/>
      </w:tblGrid>
      <w:tr w:rsidR="004A54BE" w:rsidTr="00852494">
        <w:trPr>
          <w:cantSplit/>
          <w:trHeight w:val="78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河南省人民医院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郑州人民医院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濮阳市人民医院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郑州市中心医院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郑州市第一人民医院</w:t>
            </w:r>
          </w:p>
        </w:tc>
      </w:tr>
      <w:tr w:rsidR="004A54BE" w:rsidTr="00852494">
        <w:trPr>
          <w:cantSplit/>
          <w:trHeight w:val="61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1217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72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802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4A54BE" w:rsidTr="00852494">
        <w:trPr>
          <w:cantSplit/>
          <w:trHeight w:val="623"/>
          <w:jc w:val="center"/>
        </w:trPr>
        <w:tc>
          <w:tcPr>
            <w:tcW w:w="8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4A54BE" w:rsidRDefault="004A54BE" w:rsidP="004A54BE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4A54BE" w:rsidRDefault="004A54BE" w:rsidP="004A54BE">
      <w:pPr>
        <w:rPr>
          <w:rFonts w:eastAsia="仿宋_GB2312"/>
          <w:bCs/>
          <w:sz w:val="32"/>
          <w:szCs w:val="32"/>
          <w:u w:val="single"/>
          <w:lang/>
        </w:rPr>
        <w:sectPr w:rsidR="004A54BE">
          <w:pgSz w:w="16838" w:h="11906" w:orient="landscape"/>
          <w:pgMar w:top="567" w:right="720" w:bottom="567" w:left="720" w:header="851" w:footer="992" w:gutter="0"/>
          <w:cols w:space="720"/>
          <w:docGrid w:type="lines" w:linePitch="312"/>
        </w:sectPr>
      </w:pPr>
    </w:p>
    <w:p w:rsidR="004A54BE" w:rsidRDefault="004A54BE" w:rsidP="004A54B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5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新乡医学院实验教学管理评估表</w:t>
      </w:r>
    </w:p>
    <w:p w:rsidR="004A54BE" w:rsidRDefault="004A54BE" w:rsidP="004A54BE">
      <w:pPr>
        <w:jc w:val="center"/>
        <w:rPr>
          <w:rFonts w:eastAsia="仿宋_GB2312"/>
          <w:bCs/>
          <w:sz w:val="24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测评时间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年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月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3942"/>
        <w:gridCol w:w="1167"/>
        <w:gridCol w:w="1339"/>
        <w:gridCol w:w="1339"/>
        <w:gridCol w:w="1338"/>
        <w:gridCol w:w="1339"/>
        <w:gridCol w:w="1339"/>
        <w:gridCol w:w="1339"/>
      </w:tblGrid>
      <w:tr w:rsidR="004A54BE" w:rsidTr="00852494">
        <w:trPr>
          <w:cantSplit/>
          <w:trHeight w:val="746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sz w:val="32"/>
                <w:szCs w:val="32"/>
                <w:lang/>
              </w:rPr>
              <w:t>评估项目（分值）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基础医学院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公共卫生学院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药学院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医学检验学院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护理学院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法医学系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生命科学技术学院</w:t>
            </w:r>
          </w:p>
        </w:tc>
      </w:tr>
      <w:tr w:rsidR="004A54BE" w:rsidTr="00852494">
        <w:trPr>
          <w:cantSplit/>
          <w:trHeight w:val="403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实验室规章制度及履行情况(10)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36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各级实验技术人员岗位职责及履行情况(10)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38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实验教学运行情况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实验准备及预实验情况(15)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1273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实验室开放情况，包括方案、记录、总结等；参照《新乡医学院教学实验室管理规定》（校字〔2014〕26号）（20）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39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按照教学大纲，实验开出率（10）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655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实验材料使用管理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实验材料使用制度及履行情况 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688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出入库手续，材料账目簿，年度盘存汇总等材料保存情况(10)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83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易燃易爆剧毒危险品管理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易燃易爆、剧毒危险品管理制度及履行情况(5)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1178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分类、分库存放情况，防火、防爆要求的设施(10)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33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总分（100）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</w:tbl>
    <w:p w:rsidR="004A54BE" w:rsidRDefault="004A54BE" w:rsidP="004A54BE">
      <w:pPr>
        <w:spacing w:line="600" w:lineRule="exact"/>
        <w:ind w:right="640" w:firstLineChars="3350" w:firstLine="10720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</w:t>
      </w:r>
    </w:p>
    <w:p w:rsidR="004A54BE" w:rsidRDefault="004A54BE" w:rsidP="004A54B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6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新乡医学院实验教学管理评估表</w:t>
      </w:r>
    </w:p>
    <w:p w:rsidR="004A54BE" w:rsidRDefault="004A54BE" w:rsidP="004A54BE">
      <w:pPr>
        <w:jc w:val="center"/>
        <w:rPr>
          <w:rFonts w:eastAsia="仿宋_GB2312"/>
          <w:bCs/>
          <w:sz w:val="24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测评时间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年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月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"/>
        <w:gridCol w:w="4025"/>
        <w:gridCol w:w="1112"/>
        <w:gridCol w:w="1098"/>
        <w:gridCol w:w="1429"/>
        <w:gridCol w:w="1213"/>
        <w:gridCol w:w="1213"/>
        <w:gridCol w:w="1213"/>
        <w:gridCol w:w="1213"/>
      </w:tblGrid>
      <w:tr w:rsidR="004A54BE" w:rsidTr="00852494">
        <w:trPr>
          <w:cantSplit/>
          <w:trHeight w:val="821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4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sz w:val="32"/>
                <w:szCs w:val="32"/>
                <w:lang/>
              </w:rPr>
              <w:t>评估项目（分值）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管理学院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心理学系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生物医学工程学院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第一临床学院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第三临床学院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口腔医学院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临床技能中心</w:t>
            </w:r>
          </w:p>
        </w:tc>
      </w:tr>
      <w:tr w:rsidR="004A54BE" w:rsidTr="00852494">
        <w:trPr>
          <w:cantSplit/>
          <w:trHeight w:val="438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实验室规章制度及履行情况(10)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76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各级实验技术人员岗位职责及履行情况(10)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65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实验教学运行情况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实验准备及预实验情况(15)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1325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实验室开放情况，包括方案、记录、总结等；参照《新乡医学院教学实验室管理规定》（校字〔2014〕26号）（20）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23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按照教学大纲，实验开出率（10）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718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实验材料使用管理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实验材料使用制度及履行情况 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718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出入库手续，材料账目簿，年度盘存汇总等材料保存情况(10)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915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易燃易爆剧毒危险品管理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易燃易爆、剧毒危险品管理制度及履行情况(5)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718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分类、分库存放情况，防火、防爆要求的设施(10)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4A54BE" w:rsidTr="00852494">
        <w:trPr>
          <w:cantSplit/>
          <w:trHeight w:val="460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BE" w:rsidRDefault="004A54BE" w:rsidP="00852494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总分（100）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BE" w:rsidRDefault="004A54BE" w:rsidP="00852494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</w:tbl>
    <w:p w:rsidR="004A54BE" w:rsidRDefault="004A54BE" w:rsidP="004A54BE">
      <w:pPr>
        <w:spacing w:line="600" w:lineRule="exact"/>
        <w:ind w:right="640" w:firstLineChars="3350" w:firstLine="10720"/>
        <w:rPr>
          <w:rFonts w:ascii="仿宋_GB2312" w:eastAsia="仿宋_GB2312"/>
          <w:sz w:val="28"/>
          <w:szCs w:val="28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</w:t>
      </w:r>
    </w:p>
    <w:p w:rsidR="00577653" w:rsidRDefault="00577653"/>
    <w:sectPr w:rsidR="00577653">
      <w:pgSz w:w="16838" w:h="11906" w:orient="landscape"/>
      <w:pgMar w:top="567" w:right="720" w:bottom="567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4BE"/>
    <w:rsid w:val="004A54BE"/>
    <w:rsid w:val="0057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</dc:creator>
  <cp:lastModifiedBy>xiang</cp:lastModifiedBy>
  <cp:revision>1</cp:revision>
  <dcterms:created xsi:type="dcterms:W3CDTF">2017-04-18T02:11:00Z</dcterms:created>
  <dcterms:modified xsi:type="dcterms:W3CDTF">2017-04-18T02:11:00Z</dcterms:modified>
</cp:coreProperties>
</file>