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新乡医学院</w:t>
      </w:r>
      <w:r>
        <w:rPr>
          <w:rFonts w:hint="eastAsia"/>
          <w:b/>
          <w:sz w:val="36"/>
          <w:szCs w:val="36"/>
          <w:lang w:eastAsia="zh-CN"/>
        </w:rPr>
        <w:t>大型</w:t>
      </w:r>
      <w:r>
        <w:rPr>
          <w:rFonts w:hint="eastAsia"/>
          <w:b/>
          <w:sz w:val="36"/>
          <w:szCs w:val="36"/>
        </w:rPr>
        <w:t>精密贵重仪器设备管理</w:t>
      </w:r>
      <w:r>
        <w:rPr>
          <w:rFonts w:hint="eastAsia"/>
          <w:b/>
          <w:sz w:val="36"/>
          <w:szCs w:val="36"/>
          <w:lang w:eastAsia="zh-CN"/>
        </w:rPr>
        <w:t>办法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84" w:lineRule="auto"/>
        <w:ind w:left="0" w:right="0" w:firstLine="643" w:firstLineChars="200"/>
        <w:jc w:val="both"/>
      </w:pPr>
      <w:r>
        <w:rPr>
          <w:rStyle w:val="6"/>
          <w:rFonts w:ascii="仿宋_GB2312" w:hAnsi="华文仿宋" w:eastAsia="仿宋_GB2312" w:cs="华文仿宋"/>
          <w:bCs w:val="0"/>
          <w:color w:val="333333"/>
          <w:kern w:val="0"/>
          <w:sz w:val="32"/>
          <w:szCs w:val="32"/>
          <w:lang w:val="en-US" w:eastAsia="zh-CN" w:bidi="ar"/>
        </w:rPr>
        <w:t>第一章　</w:t>
      </w:r>
      <w:r>
        <w:rPr>
          <w:rStyle w:val="6"/>
          <w:rFonts w:hint="eastAsia" w:ascii="仿宋_GB2312" w:hAnsi="宋体" w:eastAsia="仿宋_GB2312" w:cs="宋体"/>
          <w:bCs w:val="0"/>
          <w:color w:val="333333"/>
          <w:kern w:val="0"/>
          <w:sz w:val="32"/>
          <w:szCs w:val="32"/>
          <w:lang w:val="en-US" w:eastAsia="zh-CN" w:bidi="ar"/>
        </w:rPr>
        <w:t>总</w:t>
      </w:r>
      <w:r>
        <w:rPr>
          <w:rStyle w:val="6"/>
          <w:rFonts w:hint="eastAsia" w:ascii="仿宋_GB2312" w:hAnsi="Dotum" w:eastAsia="仿宋_GB2312" w:cs="Dotum"/>
          <w:bCs w:val="0"/>
          <w:color w:val="333333"/>
          <w:kern w:val="0"/>
          <w:sz w:val="32"/>
          <w:szCs w:val="32"/>
          <w:lang w:val="en-US" w:eastAsia="zh-CN" w:bidi="ar"/>
        </w:rPr>
        <w:t>　</w:t>
      </w:r>
      <w:r>
        <w:rPr>
          <w:rStyle w:val="6"/>
          <w:rFonts w:hint="eastAsia" w:ascii="仿宋_GB2312" w:hAnsi="宋体" w:eastAsia="仿宋_GB2312" w:cs="宋体"/>
          <w:bCs w:val="0"/>
          <w:color w:val="333333"/>
          <w:kern w:val="0"/>
          <w:sz w:val="32"/>
          <w:szCs w:val="32"/>
          <w:lang w:val="en-US" w:eastAsia="zh-CN" w:bidi="ar"/>
        </w:rPr>
        <w:t>则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第一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为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了加强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大型精密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贵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的管理，提高使用效能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，根据《行政事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业单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国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资产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管理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法》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hAnsi="Times New Roman" w:eastAsia="宋体" w:cs="宋体"/>
          <w:color w:val="333333"/>
          <w:kern w:val="0"/>
          <w:sz w:val="32"/>
          <w:szCs w:val="32"/>
          <w:lang w:val="en-US" w:eastAsia="zh-CN" w:bidi="ar"/>
        </w:rPr>
        <w:t>﹝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2006</w:t>
      </w:r>
      <w:r>
        <w:rPr>
          <w:rFonts w:hint="eastAsia" w:ascii="仿宋_GB2312" w:hAnsi="Times New Roman" w:eastAsia="宋体" w:cs="宋体"/>
          <w:color w:val="333333"/>
          <w:kern w:val="0"/>
          <w:sz w:val="32"/>
          <w:szCs w:val="32"/>
          <w:lang w:val="en-US" w:eastAsia="zh-CN" w:bidi="ar"/>
        </w:rPr>
        <w:t>﹞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财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政部令第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35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号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、《高等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管理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法》</w:t>
      </w:r>
      <w:r>
        <w:rPr>
          <w:rFonts w:hint="eastAsia" w:ascii="仿宋_GB2312" w:hAnsi="华文仿宋" w:eastAsia="仿宋_GB2312" w:cs="华文仿宋"/>
          <w:bCs/>
          <w:color w:val="333333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 w:bidi="ar"/>
        </w:rPr>
        <w:t>教</w:t>
      </w:r>
      <w:r>
        <w:rPr>
          <w:rFonts w:hint="eastAsia" w:ascii="仿宋_GB2312" w:hAnsi="Dotum" w:eastAsia="仿宋_GB2312" w:cs="Dotum"/>
          <w:bCs/>
          <w:color w:val="333333"/>
          <w:kern w:val="0"/>
          <w:sz w:val="32"/>
          <w:szCs w:val="32"/>
          <w:lang w:val="en-US" w:eastAsia="zh-CN" w:bidi="ar"/>
        </w:rPr>
        <w:t>高〔</w:t>
      </w:r>
      <w:r>
        <w:rPr>
          <w:rFonts w:hint="eastAsia" w:ascii="仿宋_GB2312" w:hAnsi="华文仿宋" w:eastAsia="仿宋_GB2312" w:cs="华文仿宋"/>
          <w:bCs/>
          <w:color w:val="333333"/>
          <w:kern w:val="0"/>
          <w:sz w:val="32"/>
          <w:szCs w:val="32"/>
          <w:lang w:val="en-US" w:eastAsia="zh-CN" w:bidi="ar"/>
        </w:rPr>
        <w:t>2000〕9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 w:bidi="ar"/>
        </w:rPr>
        <w:t>号</w:t>
      </w:r>
      <w:r>
        <w:rPr>
          <w:rFonts w:hint="eastAsia" w:ascii="仿宋_GB2312" w:hAnsi="Dotum" w:eastAsia="仿宋_GB2312" w:cs="Dotum"/>
          <w:bCs/>
          <w:color w:val="333333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和《新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乡医学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院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教学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科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研仪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管理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法》，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结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实际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制定本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第二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　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大型精密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贵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管理依照《新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乡医学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院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教学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科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研仪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管理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法》相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关规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行</w:t>
      </w:r>
      <w:r>
        <w:rPr>
          <w:rFonts w:hint="eastAsia" w:ascii="仿宋_GB2312" w:hAnsi="华文仿宋" w:eastAsia="仿宋_GB2312" w:cs="华文仿宋"/>
          <w:bCs/>
          <w:color w:val="333333"/>
          <w:kern w:val="0"/>
          <w:sz w:val="32"/>
          <w:szCs w:val="32"/>
          <w:lang w:val="en-US" w:eastAsia="zh-CN" w:bidi="ar"/>
        </w:rPr>
        <w:t>校、院（系、部)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 w:bidi="ar"/>
        </w:rPr>
        <w:t>两级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管理。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第三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　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大型精密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贵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管理范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围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1.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单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价在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10万元(含)以上的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2.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单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台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(件)价格低于10万元，但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于成套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购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置和需配套使用的，价格在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10万元(含)以上的成套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3.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单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价在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10万元以下，但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于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校及上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级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关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门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明确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为贵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器的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3" w:firstLineChars="200"/>
        <w:jc w:val="left"/>
        <w:textAlignment w:val="auto"/>
        <w:outlineLvl w:val="9"/>
      </w:pPr>
      <w:r>
        <w:rPr>
          <w:rStyle w:val="6"/>
          <w:rFonts w:hint="eastAsia" w:ascii="仿宋_GB2312" w:hAnsi="华文仿宋" w:eastAsia="仿宋_GB2312" w:cs="华文仿宋"/>
          <w:bCs w:val="0"/>
          <w:color w:val="333333"/>
          <w:kern w:val="0"/>
          <w:sz w:val="32"/>
          <w:szCs w:val="32"/>
          <w:lang w:val="en-US" w:eastAsia="zh-CN" w:bidi="ar"/>
        </w:rPr>
        <w:t>第二章　</w:t>
      </w:r>
      <w:r>
        <w:rPr>
          <w:rStyle w:val="6"/>
          <w:rFonts w:hint="eastAsia" w:ascii="仿宋_GB2312" w:hAnsi="宋体" w:eastAsia="仿宋_GB2312" w:cs="宋体"/>
          <w:bCs w:val="0"/>
          <w:color w:val="333333"/>
          <w:kern w:val="0"/>
          <w:sz w:val="32"/>
          <w:szCs w:val="32"/>
          <w:lang w:val="en-US" w:eastAsia="zh-CN" w:bidi="ar"/>
        </w:rPr>
        <w:t>购</w:t>
      </w:r>
      <w:r>
        <w:rPr>
          <w:rStyle w:val="6"/>
          <w:rFonts w:hint="eastAsia" w:ascii="仿宋_GB2312" w:hAnsi="Dotum" w:eastAsia="仿宋_GB2312" w:cs="Dotum"/>
          <w:bCs w:val="0"/>
          <w:color w:val="333333"/>
          <w:kern w:val="0"/>
          <w:sz w:val="32"/>
          <w:szCs w:val="32"/>
          <w:lang w:val="en-US" w:eastAsia="zh-CN" w:bidi="ar"/>
        </w:rPr>
        <w:t>　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第四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　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大型精密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贵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设备购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置原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则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大型精密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贵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的配置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应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根据学校整体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发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展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规划和教学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、科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研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工作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统筹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考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虑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，避免重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复购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置和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积压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浪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费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第五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购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置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大型精密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贵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设备应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履行下列程序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 1.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购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置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的可行性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报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 (1)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对学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教学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科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研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必要性及使用效能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预测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分析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于更新的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要提供原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设备发挥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效能的情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况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);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 (2)所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购仪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的先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进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性和适用性分析，包括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适用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科范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围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，所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选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品牌、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档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次、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格、性能、价格及技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术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指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等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 (3)所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购仪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附件、零配件、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软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件配套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经费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及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购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置后每年所需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运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维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修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费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用落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情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况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 (4)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管理人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员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的配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情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况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 (5)安装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场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地、使用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环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境及各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项辅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助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施的安全、完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程度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 (6)效益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预测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及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风险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分析；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  2.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购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置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审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 (1)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教研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室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实验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室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）提交可行性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报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告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800" w:firstLineChars="25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(2)院（系、部）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组织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相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关学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科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专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家及有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关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人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员对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可行性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报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告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进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论证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并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向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资产归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口管理部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门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提出申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请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800" w:firstLineChars="25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(3)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 w:bidi="ar"/>
        </w:rPr>
        <w:t>资产归</w:t>
      </w:r>
      <w:r>
        <w:rPr>
          <w:rFonts w:hint="eastAsia" w:ascii="仿宋_GB2312" w:hAnsi="Dotum" w:eastAsia="仿宋_GB2312" w:cs="Dotum"/>
          <w:bCs/>
          <w:color w:val="333333"/>
          <w:kern w:val="0"/>
          <w:sz w:val="32"/>
          <w:szCs w:val="32"/>
          <w:lang w:val="en-US" w:eastAsia="zh-CN" w:bidi="ar"/>
        </w:rPr>
        <w:t>口管理部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 w:bidi="ar"/>
        </w:rPr>
        <w:t>门组织专</w:t>
      </w:r>
      <w:r>
        <w:rPr>
          <w:rFonts w:hint="eastAsia" w:ascii="仿宋_GB2312" w:hAnsi="Dotum" w:eastAsia="仿宋_GB2312" w:cs="Dotum"/>
          <w:bCs/>
          <w:color w:val="333333"/>
          <w:kern w:val="0"/>
          <w:sz w:val="32"/>
          <w:szCs w:val="32"/>
          <w:lang w:val="en-US" w:eastAsia="zh-CN" w:bidi="ar"/>
        </w:rPr>
        <w:t>家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 w:bidi="ar"/>
        </w:rPr>
        <w:t>论证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 (4)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报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长办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公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会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批准。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  第六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　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大型精密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贵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设备购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置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须严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格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执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行《新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乡医学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院集中采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购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管理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法》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定的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购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置程序，采取集中采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购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的方式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进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第七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到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货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后，使用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单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应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及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时对仪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品牌、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格、型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号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数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量及附件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进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行核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对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确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认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无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误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后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进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行安装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调试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设备运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行正常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后，由使用部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门填写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《新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乡医学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院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资产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项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目）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验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收申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请单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》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递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交至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国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资产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管理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国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资产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管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处会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同使用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单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位、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审计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监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察等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门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和有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关专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家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成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验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收小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共同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组织验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收，出具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验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收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报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第八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设备验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收合格后，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应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及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时办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资产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入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建卡手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续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3" w:firstLineChars="200"/>
        <w:jc w:val="left"/>
        <w:textAlignment w:val="auto"/>
        <w:outlineLvl w:val="9"/>
      </w:pPr>
      <w:r>
        <w:rPr>
          <w:rStyle w:val="6"/>
          <w:rFonts w:hint="eastAsia" w:ascii="仿宋_GB2312" w:hAnsi="华文仿宋" w:eastAsia="仿宋_GB2312" w:cs="华文仿宋"/>
          <w:bCs w:val="0"/>
          <w:color w:val="333333"/>
          <w:kern w:val="0"/>
          <w:sz w:val="32"/>
          <w:szCs w:val="32"/>
          <w:lang w:val="en-US" w:eastAsia="zh-CN" w:bidi="ar"/>
        </w:rPr>
        <w:t>第三章　管　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第九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　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大型精密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贵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专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人管理制度。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专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管人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员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由使用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单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位提名，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经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院（系、部、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负责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人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审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核同意，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报国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资产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管理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处备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案。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专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管人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员须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具有相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应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专业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知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识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和操作技能，或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经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培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训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考核，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达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到所管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的技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术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要求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并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保持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稳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定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第十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随时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做到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、卡、物相符。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大型精密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贵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必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须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建立完整的技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术资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料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档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案，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档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内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容包括可行性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论证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购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置、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验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收、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调试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运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行使用、停机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维护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报废报损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整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周期的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记录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和原始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料。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料要定期整理、妥善保存，涉及保密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内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容的，未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经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院（系、部）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负责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人同意，不得借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阅查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第十一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　大型精密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贵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设备须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详细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安全操作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程、安装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调试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、保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养维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修和使用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记录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并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按照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认真填写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“大型精密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器履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历书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”，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为仪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维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修提供完整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数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第十二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　定期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维护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保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养设备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发现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故障或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损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坏，要及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时查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明原因，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抓紧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修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复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。大修或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进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改造工作，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应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事先做好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设计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方案，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经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院（系、部、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负责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人批准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并报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长办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公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会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同意后按程序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施。改造完成后，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应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及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时办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资产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价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值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增、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减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手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续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，做好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术资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料存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档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第十三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　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大型精密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贵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的借用按《新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乡医学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院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教学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科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研仪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管理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法》相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关规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执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行。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 </w:t>
      </w:r>
      <w:r>
        <w:rPr>
          <w:rStyle w:val="6"/>
          <w:rFonts w:hint="eastAsia" w:ascii="仿宋_GB2312" w:hAnsi="华文仿宋" w:eastAsia="仿宋_GB2312" w:cs="华文仿宋"/>
          <w:bCs w:val="0"/>
          <w:color w:val="333333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3" w:firstLineChars="200"/>
        <w:jc w:val="left"/>
        <w:textAlignment w:val="auto"/>
        <w:outlineLvl w:val="9"/>
      </w:pPr>
      <w:r>
        <w:rPr>
          <w:rStyle w:val="6"/>
          <w:rFonts w:hint="eastAsia" w:ascii="仿宋_GB2312" w:hAnsi="华文仿宋" w:eastAsia="仿宋_GB2312" w:cs="华文仿宋"/>
          <w:bCs w:val="0"/>
          <w:color w:val="333333"/>
          <w:kern w:val="0"/>
          <w:sz w:val="32"/>
          <w:szCs w:val="32"/>
          <w:lang w:val="en-US" w:eastAsia="zh-CN" w:bidi="ar"/>
        </w:rPr>
        <w:t>第四章　使　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第十四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　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大型精密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贵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设备专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管人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员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以外的本校人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员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要求自行使用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须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事先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经过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培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训并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确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认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已掌握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器性能和操作技能，方可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单独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或在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专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管人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员协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助下使用。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第十五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　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大型精密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贵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的使用不得超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压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、超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负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荷、超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时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限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运转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，要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严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格遵守安全操作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程，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严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病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运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第十六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　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大型精密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贵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要按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说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明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要求，不同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采用不同的保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养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方法，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选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用适合的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保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养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材料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，做好日常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维护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保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养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工作，使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设备经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常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于完好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状态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第十七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  大型精密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贵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源共享，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减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少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闲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置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、重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复购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置造成的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源浪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费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。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3" w:firstLineChars="200"/>
        <w:jc w:val="left"/>
        <w:textAlignment w:val="auto"/>
        <w:outlineLvl w:val="9"/>
      </w:pPr>
      <w:r>
        <w:rPr>
          <w:rStyle w:val="6"/>
          <w:rFonts w:hint="eastAsia" w:ascii="仿宋_GB2312" w:hAnsi="华文仿宋" w:eastAsia="仿宋_GB2312" w:cs="华文仿宋"/>
          <w:bCs w:val="0"/>
          <w:color w:val="333333"/>
          <w:kern w:val="0"/>
          <w:sz w:val="32"/>
          <w:szCs w:val="32"/>
          <w:lang w:val="en-US" w:eastAsia="zh-CN" w:bidi="ar"/>
        </w:rPr>
        <w:t>第五章　考    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第十八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　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大型精密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贵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的使用和管理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行年度定期考核，考核的主要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内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容是：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1. 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教学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、科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研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及社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会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务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项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目工作中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开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机使用的有效机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时为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通用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1400机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时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专业仪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800机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时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2. 人才培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养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情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况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3、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教学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科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研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成果及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获奖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情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况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4、社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会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务项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目情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况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5. 完好率和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运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环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境的良好程度；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6. 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术档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案、使用和管理制度的健全情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况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480" w:firstLineChars="15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 第十九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贵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考核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定格次分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别为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及格、良好和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优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秀；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对仪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使用效率低、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专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管共用差的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单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位，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校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将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酌情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调剂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，重新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进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行分配。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3" w:firstLineChars="200"/>
        <w:jc w:val="left"/>
        <w:textAlignment w:val="auto"/>
        <w:outlineLvl w:val="9"/>
      </w:pPr>
      <w:r>
        <w:rPr>
          <w:rStyle w:val="6"/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第六章  附    </w:t>
      </w:r>
      <w:r>
        <w:rPr>
          <w:rStyle w:val="6"/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第二十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  本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法未涉及事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项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，按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《新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乡医学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院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国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资产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管理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法》、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《新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乡医学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院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教学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科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研仪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设备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管理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法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》等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规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章制度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执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第二十一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 xml:space="preserve">  本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办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法解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释权归国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资产</w:t>
      </w:r>
      <w:r>
        <w:rPr>
          <w:rFonts w:hint="eastAsia" w:ascii="仿宋_GB2312" w:hAnsi="Dotum" w:eastAsia="仿宋_GB2312" w:cs="Dotum"/>
          <w:color w:val="333333"/>
          <w:kern w:val="0"/>
          <w:sz w:val="32"/>
          <w:szCs w:val="32"/>
          <w:lang w:val="en-US" w:eastAsia="zh-CN" w:bidi="ar"/>
        </w:rPr>
        <w:t>管理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处</w:t>
      </w:r>
      <w:r>
        <w:rPr>
          <w:rFonts w:hint="eastAsia" w:ascii="仿宋_GB2312" w:hAnsi="华文仿宋" w:eastAsia="仿宋_GB2312" w:cs="华文仿宋"/>
          <w:color w:val="333333"/>
          <w:kern w:val="0"/>
          <w:sz w:val="32"/>
          <w:szCs w:val="32"/>
          <w:lang w:val="en-US" w:eastAsia="zh-CN" w:bidi="ar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ind w:left="0" w:leftChars="0" w:right="0" w:rightChars="0"/>
        <w:jc w:val="left"/>
        <w:textAlignment w:val="auto"/>
        <w:outlineLvl w:val="9"/>
      </w:pPr>
      <w:r>
        <w:rPr>
          <w:rFonts w:hint="eastAsia" w:ascii="仿宋_GB2312" w:hAnsi="华文仿宋" w:eastAsia="仿宋_GB2312" w:cs="华文仿宋"/>
          <w:color w:val="333333"/>
          <w:kern w:val="2"/>
          <w:sz w:val="32"/>
          <w:szCs w:val="32"/>
          <w:lang w:val="en-US" w:eastAsia="zh-CN" w:bidi="ar"/>
        </w:rPr>
        <w:t xml:space="preserve">    第二十二</w:t>
      </w:r>
      <w:r>
        <w:rPr>
          <w:rFonts w:hint="eastAsia" w:ascii="仿宋_GB2312" w:hAnsi="Times New Roman" w:eastAsia="仿宋_GB2312" w:cs="宋体"/>
          <w:color w:val="333333"/>
          <w:kern w:val="2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华文仿宋" w:eastAsia="仿宋_GB2312" w:cs="华文仿宋"/>
          <w:color w:val="333333"/>
          <w:kern w:val="2"/>
          <w:sz w:val="32"/>
          <w:szCs w:val="32"/>
          <w:lang w:val="en-US" w:eastAsia="zh-CN" w:bidi="ar"/>
        </w:rPr>
        <w:t xml:space="preserve">  本</w:t>
      </w:r>
      <w:r>
        <w:rPr>
          <w:rFonts w:hint="eastAsia" w:ascii="仿宋_GB2312" w:hAnsi="Times New Roman" w:eastAsia="仿宋_GB2312" w:cs="宋体"/>
          <w:color w:val="333333"/>
          <w:kern w:val="2"/>
          <w:sz w:val="32"/>
          <w:szCs w:val="32"/>
          <w:lang w:val="en-US" w:eastAsia="zh-CN" w:bidi="ar"/>
        </w:rPr>
        <w:t>办</w:t>
      </w:r>
      <w:r>
        <w:rPr>
          <w:rFonts w:hint="eastAsia" w:ascii="仿宋_GB2312" w:hAnsi="Dotum" w:eastAsia="仿宋_GB2312" w:cs="Dotum"/>
          <w:color w:val="333333"/>
          <w:kern w:val="2"/>
          <w:sz w:val="32"/>
          <w:szCs w:val="32"/>
          <w:lang w:val="en-US" w:eastAsia="zh-CN" w:bidi="ar"/>
        </w:rPr>
        <w:t>法自</w:t>
      </w:r>
      <w:r>
        <w:rPr>
          <w:rFonts w:hint="eastAsia" w:ascii="仿宋_GB2312" w:hAnsi="Times New Roman" w:eastAsia="仿宋_GB2312" w:cs="宋体"/>
          <w:color w:val="333333"/>
          <w:kern w:val="2"/>
          <w:sz w:val="32"/>
          <w:szCs w:val="32"/>
          <w:lang w:val="en-US" w:eastAsia="zh-CN" w:bidi="ar"/>
        </w:rPr>
        <w:t>发</w:t>
      </w:r>
      <w:r>
        <w:rPr>
          <w:rFonts w:hint="eastAsia" w:ascii="仿宋_GB2312" w:hAnsi="Dotum" w:eastAsia="仿宋_GB2312" w:cs="Dotum"/>
          <w:color w:val="333333"/>
          <w:kern w:val="2"/>
          <w:sz w:val="32"/>
          <w:szCs w:val="32"/>
          <w:lang w:val="en-US" w:eastAsia="zh-CN" w:bidi="ar"/>
        </w:rPr>
        <w:t>布之日起</w:t>
      </w:r>
      <w:r>
        <w:rPr>
          <w:rFonts w:hint="eastAsia" w:ascii="仿宋_GB2312" w:hAnsi="Times New Roman" w:eastAsia="仿宋_GB2312" w:cs="宋体"/>
          <w:color w:val="333333"/>
          <w:kern w:val="2"/>
          <w:sz w:val="32"/>
          <w:szCs w:val="32"/>
          <w:lang w:val="en-US" w:eastAsia="zh-CN" w:bidi="ar"/>
        </w:rPr>
        <w:t>执</w:t>
      </w:r>
      <w:r>
        <w:rPr>
          <w:rFonts w:hint="eastAsia" w:ascii="仿宋_GB2312" w:hAnsi="Dotum" w:eastAsia="仿宋_GB2312" w:cs="Dotum"/>
          <w:color w:val="333333"/>
          <w:kern w:val="2"/>
          <w:sz w:val="32"/>
          <w:szCs w:val="32"/>
          <w:lang w:val="en-US" w:eastAsia="zh-CN" w:bidi="ar"/>
        </w:rPr>
        <w:t>行</w:t>
      </w:r>
      <w:r>
        <w:rPr>
          <w:rFonts w:hint="eastAsia" w:ascii="仿宋_GB2312" w:hAnsi="华文仿宋" w:eastAsia="仿宋_GB2312" w:cs="华文仿宋"/>
          <w:color w:val="333333"/>
          <w:kern w:val="2"/>
          <w:sz w:val="32"/>
          <w:szCs w:val="32"/>
          <w:lang w:val="en-US" w:eastAsia="zh-CN" w:bidi="ar"/>
        </w:rPr>
        <w:t>。</w:t>
      </w:r>
    </w:p>
    <w:p>
      <w:pPr>
        <w:rPr>
          <w:rFonts w:hint="eastAsia"/>
          <w:sz w:val="28"/>
          <w:szCs w:val="28"/>
        </w:rPr>
      </w:pPr>
    </w:p>
    <w:sectPr>
      <w:pgSz w:w="11906" w:h="16838"/>
      <w:pgMar w:top="1100" w:right="1236" w:bottom="110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华文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9547A"/>
    <w:rsid w:val="0069547A"/>
    <w:rsid w:val="006E1804"/>
    <w:rsid w:val="25496186"/>
    <w:rsid w:val="35A10B8E"/>
    <w:rsid w:val="597E24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unhideWhenUsed/>
    <w:uiPriority w:val="99"/>
    <w:rPr>
      <w:color w:val="444444"/>
      <w:sz w:val="18"/>
      <w:szCs w:val="18"/>
      <w:u w:val="none"/>
    </w:rPr>
  </w:style>
  <w:style w:type="character" w:styleId="8">
    <w:name w:val="Hyperlink"/>
    <w:basedOn w:val="5"/>
    <w:unhideWhenUsed/>
    <w:uiPriority w:val="99"/>
    <w:rPr>
      <w:color w:val="444444"/>
      <w:sz w:val="18"/>
      <w:szCs w:val="18"/>
      <w:u w:val="none"/>
    </w:rPr>
  </w:style>
  <w:style w:type="character" w:customStyle="1" w:styleId="10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418</Words>
  <Characters>2386</Characters>
  <Lines>19</Lines>
  <Paragraphs>5</Paragraphs>
  <ScaleCrop>false</ScaleCrop>
  <LinksUpToDate>false</LinksUpToDate>
  <CharactersWithSpaces>2799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2014-09-02T01:33:00Z</dcterms:created>
  <dc:creator>User</dc:creator>
  <cp:lastModifiedBy>Administrator</cp:lastModifiedBy>
  <dcterms:modified xsi:type="dcterms:W3CDTF">2016-08-16T02:04:55Z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